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4A" w:rsidRPr="00467C41" w:rsidRDefault="001A0A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467C41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деятельности по технологическому присоединению 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r w:rsidR="0096058A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рганизовало ЦПОК и в каждом районном подразделении ПОК для улучшения качества обслуживания клиентов;</w:t>
      </w:r>
    </w:p>
    <w:p w:rsidR="00091253" w:rsidRPr="00A60964" w:rsidRDefault="0096058A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с</w:t>
      </w:r>
      <w:r w:rsidR="00091253" w:rsidRPr="00A60964">
        <w:rPr>
          <w:rFonts w:ascii="Times New Roman" w:hAnsi="Times New Roman" w:cs="Times New Roman"/>
          <w:sz w:val="24"/>
          <w:szCs w:val="24"/>
        </w:rPr>
        <w:t>оздало возможность подачи заявок на технологическое присоединение</w:t>
      </w:r>
      <w:r w:rsidRPr="00A60964">
        <w:rPr>
          <w:rFonts w:ascii="Times New Roman" w:hAnsi="Times New Roman" w:cs="Times New Roman"/>
          <w:sz w:val="24"/>
          <w:szCs w:val="24"/>
        </w:rPr>
        <w:t xml:space="preserve"> с помощью личного кабинета на официальном сайте сетевой организации.</w:t>
      </w: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Отдел технологического присоединения Управления транспорта электроэнергии (далее – ОТП).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60964">
        <w:rPr>
          <w:rFonts w:ascii="Times New Roman" w:hAnsi="Times New Roman" w:cs="Times New Roman"/>
        </w:rPr>
        <w:t>Приказом генерального директора от 21.03.2014г. № 43 был утвержден Регламент технологического присоединения к электрическим сетям ОАО «Ульяновская сетевая компания» (с последующей редакцией, утвержденной Приказом генерального директора от 31.08.2015г. № 169</w:t>
      </w:r>
      <w:proofErr w:type="gramEnd"/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  <w:bCs/>
        </w:rPr>
        <w:t xml:space="preserve">  </w:t>
      </w: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96058A" w:rsidRPr="00A60964" w:rsidRDefault="0096058A" w:rsidP="00467C41">
      <w:pPr>
        <w:spacing w:line="360" w:lineRule="auto"/>
        <w:ind w:firstLine="567"/>
        <w:jc w:val="both"/>
        <w:rPr>
          <w:rStyle w:val="A7"/>
          <w:color w:val="auto"/>
          <w:sz w:val="24"/>
          <w:szCs w:val="24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1. Регламентация процессов принятия и рассмот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рения заявок клиентов.</w:t>
      </w: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2. Четкое разграничение обязанностей между подразделениями.</w:t>
      </w: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3. Обеспечение взаимодействия с клиентом по всем направлениям – очное, телефонное, пись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менное, в том числе по электронной почте и фак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су.</w:t>
      </w: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4. Поддержание контакта с клиентом до полного решения его вопросов.</w:t>
      </w: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Правила технологического присоединения </w:t>
      </w:r>
      <w:proofErr w:type="spellStart"/>
      <w:r w:rsidRPr="00A6096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60964">
        <w:rPr>
          <w:rFonts w:ascii="Times New Roman" w:hAnsi="Times New Roman" w:cs="Times New Roman"/>
          <w:sz w:val="24"/>
          <w:szCs w:val="24"/>
        </w:rPr>
        <w:t xml:space="preserve">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861.</w:t>
      </w: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467C41">
          <w:headerReference w:type="default" r:id="rId8"/>
          <w:pgSz w:w="11905" w:h="16838"/>
          <w:pgMar w:top="709" w:right="851" w:bottom="1134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391" w:type="dxa"/>
        <w:tblInd w:w="97" w:type="dxa"/>
        <w:tblLayout w:type="fixed"/>
        <w:tblLook w:val="04A0"/>
      </w:tblPr>
      <w:tblGrid>
        <w:gridCol w:w="641"/>
        <w:gridCol w:w="2112"/>
        <w:gridCol w:w="714"/>
        <w:gridCol w:w="707"/>
        <w:gridCol w:w="799"/>
        <w:gridCol w:w="708"/>
        <w:gridCol w:w="709"/>
        <w:gridCol w:w="851"/>
        <w:gridCol w:w="850"/>
        <w:gridCol w:w="851"/>
        <w:gridCol w:w="850"/>
        <w:gridCol w:w="709"/>
        <w:gridCol w:w="709"/>
        <w:gridCol w:w="850"/>
        <w:gridCol w:w="709"/>
        <w:gridCol w:w="850"/>
        <w:gridCol w:w="993"/>
        <w:gridCol w:w="779"/>
      </w:tblGrid>
      <w:tr w:rsidR="004E558D" w:rsidRPr="004E558D" w:rsidTr="00A60964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8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A60964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</w:t>
            </w:r>
            <w:proofErr w:type="gramStart"/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Вт вкл</w:t>
            </w:r>
            <w:proofErr w:type="gramEnd"/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ючительно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</w:t>
            </w:r>
            <w:proofErr w:type="gramStart"/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Вт вкл</w:t>
            </w:r>
            <w:proofErr w:type="gramEnd"/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ючительно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964" w:rsidRPr="004E558D" w:rsidTr="00A60964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A60964" w:rsidRPr="004E558D" w:rsidTr="00A60964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-29,73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-5,83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-30,77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</w:tr>
      <w:tr w:rsidR="00A60964" w:rsidRPr="004E558D" w:rsidTr="00A60964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0964" w:rsidRPr="004E558D" w:rsidTr="00A60964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0964" w:rsidRPr="004E558D" w:rsidTr="00A60964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-5,92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-11,63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-13,29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0964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-17,86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-23,08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A60964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60964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</w:t>
      </w:r>
      <w:proofErr w:type="gramStart"/>
      <w:r w:rsidRPr="00A6096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41" w:rsidRDefault="00467C41" w:rsidP="007003AC">
      <w:r>
        <w:separator/>
      </w:r>
    </w:p>
  </w:endnote>
  <w:endnote w:type="continuationSeparator" w:id="0">
    <w:p w:rsidR="00467C41" w:rsidRDefault="00467C41" w:rsidP="0070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41" w:rsidRDefault="00467C41" w:rsidP="007003AC">
      <w:r>
        <w:separator/>
      </w:r>
    </w:p>
  </w:footnote>
  <w:footnote w:type="continuationSeparator" w:id="0">
    <w:p w:rsidR="00467C41" w:rsidRDefault="00467C41" w:rsidP="0070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 w:rsidP="007003AC">
    <w:pPr>
      <w:pStyle w:val="ConsPlusTitle"/>
      <w:jc w:val="center"/>
    </w:pPr>
  </w:p>
  <w:p w:rsidR="00467C41" w:rsidRDefault="00467C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A4A"/>
    <w:rsid w:val="0001179B"/>
    <w:rsid w:val="00015E1C"/>
    <w:rsid w:val="00017977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91253"/>
    <w:rsid w:val="000956ED"/>
    <w:rsid w:val="000A1E96"/>
    <w:rsid w:val="000B1E4D"/>
    <w:rsid w:val="000B1F7E"/>
    <w:rsid w:val="000C1C5E"/>
    <w:rsid w:val="000D4FED"/>
    <w:rsid w:val="000D74BA"/>
    <w:rsid w:val="000E3381"/>
    <w:rsid w:val="000F3381"/>
    <w:rsid w:val="000F3725"/>
    <w:rsid w:val="000F6D94"/>
    <w:rsid w:val="000F787B"/>
    <w:rsid w:val="00135591"/>
    <w:rsid w:val="0015587B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B6D71"/>
    <w:rsid w:val="001C14C2"/>
    <w:rsid w:val="001C3ABC"/>
    <w:rsid w:val="001E12C0"/>
    <w:rsid w:val="001F1728"/>
    <w:rsid w:val="001F7086"/>
    <w:rsid w:val="00201554"/>
    <w:rsid w:val="00201737"/>
    <w:rsid w:val="00203CCE"/>
    <w:rsid w:val="00215500"/>
    <w:rsid w:val="00215E79"/>
    <w:rsid w:val="002355B9"/>
    <w:rsid w:val="00245B19"/>
    <w:rsid w:val="0025170E"/>
    <w:rsid w:val="002676FF"/>
    <w:rsid w:val="00267B25"/>
    <w:rsid w:val="00272C8E"/>
    <w:rsid w:val="00275BB0"/>
    <w:rsid w:val="00275D6B"/>
    <w:rsid w:val="002900C6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F1A92"/>
    <w:rsid w:val="002F475E"/>
    <w:rsid w:val="002F5F2D"/>
    <w:rsid w:val="002F79B4"/>
    <w:rsid w:val="00310933"/>
    <w:rsid w:val="00311025"/>
    <w:rsid w:val="00315F81"/>
    <w:rsid w:val="00324339"/>
    <w:rsid w:val="00324363"/>
    <w:rsid w:val="00325C06"/>
    <w:rsid w:val="00336DFF"/>
    <w:rsid w:val="0034395B"/>
    <w:rsid w:val="00351E05"/>
    <w:rsid w:val="00352317"/>
    <w:rsid w:val="00353A64"/>
    <w:rsid w:val="00353DAF"/>
    <w:rsid w:val="00362B50"/>
    <w:rsid w:val="00364D2E"/>
    <w:rsid w:val="00367480"/>
    <w:rsid w:val="0037200B"/>
    <w:rsid w:val="003731FA"/>
    <w:rsid w:val="00373C90"/>
    <w:rsid w:val="0038126F"/>
    <w:rsid w:val="003875E0"/>
    <w:rsid w:val="00387CA8"/>
    <w:rsid w:val="0039034B"/>
    <w:rsid w:val="00397CF8"/>
    <w:rsid w:val="003A246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F2813"/>
    <w:rsid w:val="00406D02"/>
    <w:rsid w:val="00415D01"/>
    <w:rsid w:val="004167D4"/>
    <w:rsid w:val="00425577"/>
    <w:rsid w:val="00430C1F"/>
    <w:rsid w:val="00436133"/>
    <w:rsid w:val="00444010"/>
    <w:rsid w:val="00452ECC"/>
    <w:rsid w:val="00462EEA"/>
    <w:rsid w:val="00465117"/>
    <w:rsid w:val="00467C41"/>
    <w:rsid w:val="004728A1"/>
    <w:rsid w:val="004823CA"/>
    <w:rsid w:val="004838C4"/>
    <w:rsid w:val="00487249"/>
    <w:rsid w:val="0049554A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4E82"/>
    <w:rsid w:val="00546271"/>
    <w:rsid w:val="005543FC"/>
    <w:rsid w:val="005768FC"/>
    <w:rsid w:val="00583049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B13D6"/>
    <w:rsid w:val="005B2000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7B37"/>
    <w:rsid w:val="00624B91"/>
    <w:rsid w:val="006313A5"/>
    <w:rsid w:val="00633852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710CF"/>
    <w:rsid w:val="00683B88"/>
    <w:rsid w:val="006877CC"/>
    <w:rsid w:val="006B0A8E"/>
    <w:rsid w:val="006C683A"/>
    <w:rsid w:val="006D0DDB"/>
    <w:rsid w:val="006D7C06"/>
    <w:rsid w:val="006E1360"/>
    <w:rsid w:val="006E2134"/>
    <w:rsid w:val="006E3069"/>
    <w:rsid w:val="006E3D51"/>
    <w:rsid w:val="006E3EA7"/>
    <w:rsid w:val="006E7C2C"/>
    <w:rsid w:val="006F1FCE"/>
    <w:rsid w:val="006F36E3"/>
    <w:rsid w:val="006F714C"/>
    <w:rsid w:val="007003AC"/>
    <w:rsid w:val="00704FBB"/>
    <w:rsid w:val="00705FE1"/>
    <w:rsid w:val="007075EA"/>
    <w:rsid w:val="0071265D"/>
    <w:rsid w:val="007151E1"/>
    <w:rsid w:val="00716719"/>
    <w:rsid w:val="0072424A"/>
    <w:rsid w:val="00726158"/>
    <w:rsid w:val="0074011E"/>
    <w:rsid w:val="00763BC9"/>
    <w:rsid w:val="00766BD4"/>
    <w:rsid w:val="00774429"/>
    <w:rsid w:val="00777251"/>
    <w:rsid w:val="0077744C"/>
    <w:rsid w:val="007872BA"/>
    <w:rsid w:val="00790931"/>
    <w:rsid w:val="007942B4"/>
    <w:rsid w:val="007A05A3"/>
    <w:rsid w:val="007A7BA0"/>
    <w:rsid w:val="007B2853"/>
    <w:rsid w:val="007B5AB0"/>
    <w:rsid w:val="007D1C74"/>
    <w:rsid w:val="007D6FC9"/>
    <w:rsid w:val="007E60A8"/>
    <w:rsid w:val="007E799E"/>
    <w:rsid w:val="007F3852"/>
    <w:rsid w:val="007F7E16"/>
    <w:rsid w:val="008014DC"/>
    <w:rsid w:val="00804E8F"/>
    <w:rsid w:val="00805996"/>
    <w:rsid w:val="00814F1D"/>
    <w:rsid w:val="00816C43"/>
    <w:rsid w:val="008304B5"/>
    <w:rsid w:val="008304FB"/>
    <w:rsid w:val="00831931"/>
    <w:rsid w:val="00833BFB"/>
    <w:rsid w:val="00835452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6D6F"/>
    <w:rsid w:val="008F7FEB"/>
    <w:rsid w:val="009115D4"/>
    <w:rsid w:val="00915BE3"/>
    <w:rsid w:val="00934D45"/>
    <w:rsid w:val="00941E6C"/>
    <w:rsid w:val="00942F2B"/>
    <w:rsid w:val="0094632C"/>
    <w:rsid w:val="0096058A"/>
    <w:rsid w:val="009612CE"/>
    <w:rsid w:val="00967CCC"/>
    <w:rsid w:val="009720B0"/>
    <w:rsid w:val="00972838"/>
    <w:rsid w:val="009857DE"/>
    <w:rsid w:val="0098763D"/>
    <w:rsid w:val="009A6B3C"/>
    <w:rsid w:val="009B1578"/>
    <w:rsid w:val="009B5D1E"/>
    <w:rsid w:val="009B613A"/>
    <w:rsid w:val="009B7ADC"/>
    <w:rsid w:val="009D7E8B"/>
    <w:rsid w:val="009E1233"/>
    <w:rsid w:val="009E7991"/>
    <w:rsid w:val="009F07B8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2824"/>
    <w:rsid w:val="00A84C05"/>
    <w:rsid w:val="00A90A65"/>
    <w:rsid w:val="00AA1677"/>
    <w:rsid w:val="00AA5142"/>
    <w:rsid w:val="00AB5C8B"/>
    <w:rsid w:val="00AB74E2"/>
    <w:rsid w:val="00AC1A85"/>
    <w:rsid w:val="00AE5669"/>
    <w:rsid w:val="00AF5144"/>
    <w:rsid w:val="00AF6669"/>
    <w:rsid w:val="00AF7DC4"/>
    <w:rsid w:val="00B009FF"/>
    <w:rsid w:val="00B21771"/>
    <w:rsid w:val="00B23E76"/>
    <w:rsid w:val="00B34FD9"/>
    <w:rsid w:val="00B42DBA"/>
    <w:rsid w:val="00B46F03"/>
    <w:rsid w:val="00B46FD0"/>
    <w:rsid w:val="00B5058D"/>
    <w:rsid w:val="00B51885"/>
    <w:rsid w:val="00B545D4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C9B"/>
    <w:rsid w:val="00C425CB"/>
    <w:rsid w:val="00C607E8"/>
    <w:rsid w:val="00C61B3C"/>
    <w:rsid w:val="00C66F90"/>
    <w:rsid w:val="00C73105"/>
    <w:rsid w:val="00C81748"/>
    <w:rsid w:val="00C83205"/>
    <w:rsid w:val="00CA22A4"/>
    <w:rsid w:val="00CB6120"/>
    <w:rsid w:val="00CB6C7E"/>
    <w:rsid w:val="00CC02D9"/>
    <w:rsid w:val="00CC5894"/>
    <w:rsid w:val="00CC5E63"/>
    <w:rsid w:val="00CE4C14"/>
    <w:rsid w:val="00CF1698"/>
    <w:rsid w:val="00D00713"/>
    <w:rsid w:val="00D01227"/>
    <w:rsid w:val="00D01359"/>
    <w:rsid w:val="00D02517"/>
    <w:rsid w:val="00D17D12"/>
    <w:rsid w:val="00D215E1"/>
    <w:rsid w:val="00D33B8A"/>
    <w:rsid w:val="00D41586"/>
    <w:rsid w:val="00D56854"/>
    <w:rsid w:val="00D5776D"/>
    <w:rsid w:val="00D933A8"/>
    <w:rsid w:val="00D961CE"/>
    <w:rsid w:val="00DC293F"/>
    <w:rsid w:val="00DD41F5"/>
    <w:rsid w:val="00DF7B24"/>
    <w:rsid w:val="00E00303"/>
    <w:rsid w:val="00E05469"/>
    <w:rsid w:val="00E070F4"/>
    <w:rsid w:val="00E23CE0"/>
    <w:rsid w:val="00E3142D"/>
    <w:rsid w:val="00E346A3"/>
    <w:rsid w:val="00E420F6"/>
    <w:rsid w:val="00E46732"/>
    <w:rsid w:val="00E50A41"/>
    <w:rsid w:val="00E52FA1"/>
    <w:rsid w:val="00E74738"/>
    <w:rsid w:val="00E75854"/>
    <w:rsid w:val="00E82ABC"/>
    <w:rsid w:val="00E83B2B"/>
    <w:rsid w:val="00E84CA5"/>
    <w:rsid w:val="00E86D3D"/>
    <w:rsid w:val="00E95647"/>
    <w:rsid w:val="00EA44AB"/>
    <w:rsid w:val="00EB24F1"/>
    <w:rsid w:val="00EB346F"/>
    <w:rsid w:val="00F15501"/>
    <w:rsid w:val="00F307FB"/>
    <w:rsid w:val="00F30DC3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865F2"/>
    <w:rsid w:val="00FA4864"/>
    <w:rsid w:val="00FB245C"/>
    <w:rsid w:val="00FB50C9"/>
    <w:rsid w:val="00FC5E76"/>
    <w:rsid w:val="00FD259E"/>
    <w:rsid w:val="00FE0BE4"/>
    <w:rsid w:val="00FE0C51"/>
    <w:rsid w:val="00FF67A3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1358E-9E12-4722-871D-19EA5EC1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israfilova_em</dc:creator>
  <cp:keywords/>
  <dc:description/>
  <cp:lastModifiedBy>israfilova_em</cp:lastModifiedBy>
  <cp:revision>4</cp:revision>
  <cp:lastPrinted>2017-02-01T11:40:00Z</cp:lastPrinted>
  <dcterms:created xsi:type="dcterms:W3CDTF">2017-03-16T05:30:00Z</dcterms:created>
  <dcterms:modified xsi:type="dcterms:W3CDTF">2017-03-16T05:59:00Z</dcterms:modified>
</cp:coreProperties>
</file>